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r>
        <w:t xml:space="preserve"> </w:t>
      </w:r>
      <w:r>
        <w:t xml:space="preserve">Worsham</w:t>
      </w:r>
      <w:r>
        <w:t xml:space="preserve"> </w:t>
      </w:r>
      <w:r>
        <w:t xml:space="preserve">et</w:t>
      </w:r>
      <w:r>
        <w:t xml:space="preserve"> </w:t>
      </w:r>
      <w:r>
        <w:t xml:space="preserve">al. 2024.</w:t>
      </w:r>
      <w:r>
        <w:t xml:space="preserve"> </w:t>
      </w:r>
      <w:r>
        <w:t xml:space="preserve">Abiotic</w:t>
      </w:r>
      <w:r>
        <w:t xml:space="preserve"> </w:t>
      </w:r>
      <w:r>
        <w:t xml:space="preserve">influences</w:t>
      </w:r>
      <w:r>
        <w:t xml:space="preserve"> </w:t>
      </w:r>
      <w:r>
        <w:t xml:space="preserve">on</w:t>
      </w:r>
      <w:r>
        <w:t xml:space="preserve"> </w:t>
      </w:r>
      <w:r>
        <w:t xml:space="preserve">subalpine</w:t>
      </w:r>
      <w:r>
        <w:t xml:space="preserve"> </w:t>
      </w:r>
      <w:r>
        <w:t xml:space="preserve">conifer</w:t>
      </w:r>
      <w:r>
        <w:t xml:space="preserve"> </w:t>
      </w:r>
      <w:r>
        <w:t xml:space="preserve">forest</w:t>
      </w:r>
      <w:r>
        <w:t xml:space="preserve"> </w:t>
      </w:r>
      <w:r>
        <w:t xml:space="preserve">structure</w:t>
      </w:r>
    </w:p>
    <w:p>
      <w:pPr>
        <w:pStyle w:val="Date"/>
      </w:pPr>
      <w:r>
        <w:t xml:space="preserve">May</w:t>
      </w:r>
      <w:r>
        <w:t xml:space="preserve"> </w:t>
      </w:r>
      <w:r>
        <w:t xml:space="preserve">13,</w:t>
      </w:r>
      <w:r>
        <w:t xml:space="preserve"> </w:t>
      </w:r>
      <w:r>
        <w:t xml:space="preserve">2024</w:t>
      </w:r>
    </w:p>
    <w:bookmarkStart w:id="20" w:name="supplementary-tables"/>
    <w:p>
      <w:pPr>
        <w:pStyle w:val="Heading2"/>
      </w:pPr>
      <w:r>
        <w:t xml:space="preserve">Supplementary tables</w:t>
      </w:r>
    </w:p>
    <w:p>
      <w:pPr>
        <w:pStyle w:val="FirstParagraph"/>
      </w:pPr>
      <w:r>
        <w:rPr>
          <w:bCs/>
          <w:b/>
        </w:rPr>
        <w:t xml:space="preserve">Table S1.</w:t>
      </w:r>
      <w:r>
        <w:t xml:space="preserve"> </w:t>
      </w:r>
      <w:r>
        <w:t xml:space="preserve">Algorithms, parameters, and vectors of values applied on those parameters in ITD training and validation.</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Tested values</w:t>
            </w:r>
          </w:p>
        </w:tc>
      </w:tr>
      <w:tr>
        <w:trPr>
          <w:cantSplit/>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 (2012)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dt1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Threshold 1. Refer to p. 79 in Li et al. (2012)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0.5, 1.0, 1.5, 2.0</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Threshold 2. Refer to p. 79 in Li et al.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0.5, 1.0, 1.5, 2.0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hmin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height threshold in m, below which a new tree cannot be initiated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Search radius. Refer to p. 79 in Li et al.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0, 1, 2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Zu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Height switch for dt1 and dt2. Use dt1 unless point height &gt; Zu; then use dt2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14, 15, 16</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LMF-auto (Jean-Romain et al. in prep)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LMF-auto is parameterless by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LMF fixed-window (Popescu and Wynne 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Window size: side length or diameter of the moving window used to detect the local maxima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The sequence 0.2:10.0 incrementing by 0.2</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shape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Shape of the window, either circular or square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circular, square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hmin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height threshold in m, below which a new tree cannot be initiated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LMF variable-window (Popescu and Wynne 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First coefficient, β_0 on the function for computing variable-window size: w=β_0*-e^(-β_1 (Z-2)-1)+β_2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0.5, 1.0, 1.5, 2.0, 2.5</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 coefficient β_1 on the variable window size function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0.02, 0.04, 0.06, 0.08, 0.10, 0.12, 0.14, 0.16</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Third coefficient β_2 on the variable window size function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1, 2, 3, 4, 5</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shape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Shape of the window, either circular or square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circular, square</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hmin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height threshold in m, below which a new tree cannot be initiated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LayerStacking (Ayrey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the starting height above ground at which layer divisions begin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Resolution of the CHM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window1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window radius for the first local maximum filter for detecting tree tops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1, 2, 3</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buffer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size of the buffer enforced around each point to create a polygonal cluster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1, 2, 3</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hardwood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logical switch, where False adds weight to clusters to account for mid-canopy density in conifer stands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window2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window radius for the second local maximum filter for detecting tree tops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0.2, 0.4, 0.6, 0.8</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hmin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height threshold in m, below which a new tree cannot be initiated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MultiCHM (Eysn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Resolution of the CHM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layer_thickness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The eliminating layer in the original paper is defined as a layer of `layer_thickness` m below the current CHM. Refer to Eysn 2015 p. 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0.25, 0.5</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dist_2d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 threshold for delineating a tree from local maximum. A tree is created if no other detected tree lies within this distance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0.1, 0.25, 0.5, 1, 2</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dist_3d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3D threshold for delineating a tree from local maximum. A tree is created if no other detected tree lies within this distance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0.5, 1, 3, 5</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PTrees (Vega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Number of nearest neighbors to use in search. Refer to Vega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All forward and reverse permutations of the sequence: {5, 6, 7, 8, 10, 12, 15, 20, 25, 30, 40, 60, 80, 100}</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hmin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height of a detected tree. Addition not in the original paper included to reduce oversegmentation.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Inverted watershed (Koch et al.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Resolution of the CHM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0.5, 1, 1.5, 2</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th_tree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height threshold in m, below which a new tree cannot be initiated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subcircle_size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radius of circles used to rasterize the point cloud to CHM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0.1, 0.2, 0.3, 0.4, 0.5, 0.6, 0.7, 0.8</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kernel_size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Size of kernel to smoothe CHM before applying watershed algorithm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3, 5, 9, 15</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tolerance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Minimum Z distance between a tree candidate's highest point and the point where it contacts another tree. If Z distance &lt; tolerance, the object is merged with its highest neighbor.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w:t>
            </w:r>
          </w:p>
        </w:tc>
      </w:tr>
      <w:tr>
        <w:trPr>
          <w:cantSplit/>
          <w:trHeight w:val="360" w:hRule="auto"/>
        </w:trPr>
        body33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Search radius in pixels for neighboring trees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w:t>
            </w:r>
          </w:p>
        </w:tc>
      </w:tr>
    </w:tbl>
    <w:p>
      <w:r>
        <w:br w:type="page"/>
      </w:r>
    </w:p>
    <w:p>
      <w:pPr>
        <w:pStyle w:val="BodyText"/>
      </w:pPr>
      <w:r>
        <w:rPr>
          <w:bCs/>
          <w:b/>
        </w:rPr>
        <w:t xml:space="preserve">Table S2.</w:t>
      </w:r>
      <w:r>
        <w:t xml:space="preserve"> </w:t>
      </w:r>
      <w:r>
        <w:t xml:space="preserve">Performance statistics for each parameter permutation used to force the LayerStacking individual tree detection (ITD) algorithm.</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Parameter 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 reference trees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 detected trees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Extraction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Match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Overall 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Omission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Commission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RMS ~∆XY~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RMS ~∆Z~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RMS ~∆XYZ~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w:t>
            </w:r>
          </w:p>
        </w:tc>
      </w:tr>
      <w:tr>
        <w:trPr>
          <w:cantSplit/>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0.50</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0.50</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0.50</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0.44</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0.43</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0.44</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0.19</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0.40</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0.40</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r>
      <w:tr>
        <w:trPr>
          <w:cantSplit/>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r>
      <w:tr>
        <w:trPr>
          <w:cantSplit/>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w:t>
            </w:r>
          </w:p>
        </w:tc>
      </w:tr>
      <w:tr>
        <w:trPr>
          <w:cantSplit/>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r>
      <w:tr>
        <w:trPr>
          <w:cantSplit/>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r>
      <w:tr>
        <w:trPr>
          <w:cantSplit/>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r>
      <w:tr>
        <w:trPr>
          <w:cantSplit/>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r>
      <w:tr>
        <w:trPr>
          <w:cantSplit/>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r>
      <w:tr>
        <w:trPr>
          <w:cantSplit/>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r>
        <w:trPr>
          <w:cantSplit/>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r>
      <w:tr>
        <w:trPr>
          <w:cantSplit/>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r>
        <w:trPr>
          <w:cantSplit/>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r>
      <w:tr>
        <w:trPr>
          <w:cantSplit/>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r>
      <w:tr>
        <w:trPr>
          <w:cantSplit/>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r>
      <w:tr>
        <w:trPr>
          <w:cantSplit/>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r>
      <w:tr>
        <w:trPr>
          <w:cantSplit/>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r>
        <w:trPr>
          <w:cantSplit/>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r>
      <w:tr>
        <w:trPr>
          <w:cantSplit/>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r>
      <w:tr>
        <w:trPr>
          <w:cantSplit/>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r>
      <w:tr>
        <w:trPr>
          <w:cantSplit/>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r>
      <w:tr>
        <w:trPr>
          <w:cantSplit/>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r>
      <w:tr>
        <w:trPr>
          <w:cantSplit/>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r>
      <w:tr>
        <w:trPr>
          <w:cantSplit/>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0.27</w:t>
            </w:r>
          </w:p>
        </w:tc>
      </w:tr>
      <w:tr>
        <w:trPr>
          <w:cantSplit/>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r>
      <w:tr>
        <w:trPr>
          <w:cantSplit/>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r>
        <w:trPr>
          <w:cantSplit/>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r>
      <w:tr>
        <w:trPr>
          <w:cantSplit/>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0.16</w:t>
            </w:r>
          </w:p>
        </w:tc>
      </w:tr>
      <w:tr>
        <w:trPr>
          <w:cantSplit/>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0.24</w:t>
            </w:r>
          </w:p>
        </w:tc>
      </w:tr>
      <w:tr>
        <w:trPr>
          <w:cantSplit/>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r>
        <w:trPr>
          <w:cantSplit/>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0.19</w:t>
            </w:r>
          </w:p>
        </w:tc>
      </w:tr>
      <w:tr>
        <w:trPr>
          <w:cantSplit/>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r>
      <w:tr>
        <w:trPr>
          <w:cantSplit/>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r>
        <w:trPr>
          <w:cantSplit/>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0.14</w:t>
            </w:r>
          </w:p>
        </w:tc>
      </w:tr>
      <w:tr>
        <w:trPr>
          <w:cantSplit/>
          <w:trHeight w:val="360" w:hRule="auto"/>
        </w:trPr>
        body72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0.18</w:t>
            </w:r>
          </w:p>
        </w:tc>
      </w:tr>
    </w:tbl>
    <w:p>
      <w:r>
        <w:br w:type="page"/>
      </w:r>
    </w:p>
    <w:p>
      <w:pPr>
        <w:pStyle w:val="BodyText"/>
      </w:pPr>
      <w:r>
        <w:rPr>
          <w:bCs/>
          <w:b/>
        </w:rPr>
        <w:t xml:space="preserve">Table S3.</w:t>
      </w:r>
      <w:r>
        <w:t xml:space="preserve"> </w:t>
      </w:r>
      <w:r>
        <w:t xml:space="preserve">Basis functions (Call), initial k (k’) and estimated degrees of freedom (edf) for each variable and 2-way interaction in GAMs. k’ and edf values are reported separately for each response variable.</w:t>
      </w:r>
    </w:p>
    <w:tbl xmlns:w14="http://schemas.microsoft.com/office/word/2010/wordml">
      <w:tblPr>
        <w:tblLayout w:type="autofit"/>
        <w:jc w:val="center"/>
        <w:tblW w:type="pct" w:w="0"/>
        <w:tblLook w:firstRow="1" w:lastRow="0" w:firstColumn="0" w:lastColumn="0" w:noHBand="0" w:noVBand="1"/>
      </w:tblPr>
      <w:tr>
        <w:trPr>
          <w:cantSplit/>
          <w:trHeight w:val="477" w:hRule="auto"/>
          <w:tblHeader/>
        </w:trPr>
        header 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Variable</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Category</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Call</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Basal area</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Height 95P</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Height skew</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QMD</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Total density</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Fir density</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Spruce density</w:t>
            </w:r>
          </w:p>
        </w:tc>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Pine density</w:t>
            </w:r>
          </w:p>
        </w:tc>
      </w:tr>
      <w:tr>
        <w:trPr>
          <w:cantSplit/>
          <w:trHeight w:val="477" w:hRule="auto"/>
          <w:tblHeader/>
        </w:trPr>
        header 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edf</w:t>
            </w:r>
          </w:p>
        </w:tc>
      </w:tr>
      <w:tr>
        <w:trPr>
          <w:cantSplit/>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load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s(heat_load)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TWI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s(twi)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0.90</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Curvature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s(curvature)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s(awc)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s(cec)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Silt content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s(silt)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0.63</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ksat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s(ksat)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0.01</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matter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5.80</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ΔSWE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s(delta_swe)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 : Heat load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ti(elevation,heat_load)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 : TPI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ti(elevation,tpi)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5.93</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 : 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ti(elevation,swe)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 : ΔSWE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ti(elevation,delta_swe)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8.21</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 : 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ti(elevation,cwd)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10.39</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Elevation : 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ti(elevation,aet)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5.11</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TPI : 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ti(tpi,swe)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TPI : ΔSWE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ti(tpi,delta_swe)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6.40</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TPI : 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ti(tpi,cwd)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TPI : 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ti(tpi,aet)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AWC : 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ti(awc,swe)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AWC : ΔSWE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ti(awc,delta_swe)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9.48</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AWC : 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ti(awc,aet)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5.07</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AWC : 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Soil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ti(awc,cwd)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load : 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ti(heat_load,swe)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load : ΔSWE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ti(heat_load,delta_swe)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load : AWC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ti(heat_load,awc)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load : 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ti(heat_load,aet)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6.50</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load : 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Topography : 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ti(heat_load,cwd)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w:t>
            </w:r>
          </w:p>
        </w:tc>
      </w:tr>
      <w:tr>
        <w:trPr>
          <w:cantSplit/>
          <w:trHeight w:val="360"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 : 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Spatial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ti(x,y)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11.64</w:t>
            </w:r>
          </w:p>
        </w:tc>
      </w:tr>
    </w:tbl>
    <w:p>
      <w:r>
        <w:br w:type="page"/>
      </w:r>
    </w:p>
    <w:p>
      <w:pPr>
        <w:pStyle w:val="BodyText"/>
      </w:pPr>
      <w:r>
        <w:rPr>
          <w:bCs/>
          <w:b/>
        </w:rPr>
        <w:t xml:space="preserve">Table S4.</w:t>
      </w:r>
      <w:r>
        <w:t xml:space="preserve"> </w:t>
      </w:r>
      <w:r>
        <w:t xml:space="preserve">Optimal tuning parameters for GBMs under the full-factorial design.</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 trees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Interaction depth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Shrinkage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Min obs. in node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Basal area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Height 95P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Height skew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QMD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Total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Fir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Spruce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Pine density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bl>
    <w:p>
      <w:r>
        <w:br w:type="page"/>
      </w:r>
    </w:p>
    <w:bookmarkEnd w:id="20"/>
    <w:bookmarkStart w:id="54" w:name="supplementary-figures"/>
    <w:p>
      <w:pPr>
        <w:pStyle w:val="Heading2"/>
      </w:pPr>
      <w:r>
        <w:t xml:space="preserve">Supplementary figures</w:t>
      </w:r>
    </w:p>
    <w:p>
      <w:pPr>
        <w:pStyle w:val="FirstParagraph"/>
      </w:pPr>
      <w:r>
        <w:drawing>
          <wp:inline>
            <wp:extent cx="5943600" cy="4374973"/>
            <wp:effectExtent b="0" l="0" r="0" t="0"/>
            <wp:docPr descr="" title="" id="1" name="Picture"/>
            <a:graphic>
              <a:graphicData uri="http://schemas.openxmlformats.org/drawingml/2006/picture">
                <pic:pic>
                  <pic:nvPicPr>
                    <pic:cNvPr descr="./Figures/FigS1.png" id="2" name="Picture"/>
                    <pic:cNvPicPr>
                      <a:picLocks noChangeArrowheads="1" noChangeAspect="1"/>
                    </pic:cNvPicPr>
                  </pic:nvPicPr>
                  <pic:blipFill>
                    <a:blip r:embed="rId21"/>
                    <a:stretch>
                      <a:fillRect/>
                    </a:stretch>
                  </pic:blipFill>
                  <pic:spPr bwMode="auto">
                    <a:xfrm>
                      <a:off x="0" y="0"/>
                      <a:ext cx="5943600" cy="4374973"/>
                    </a:xfrm>
                    <a:prstGeom prst="rect">
                      <a:avLst/>
                    </a:prstGeom>
                    <a:noFill/>
                    <a:ln w="9525">
                      <a:noFill/>
                      <a:headEnd/>
                      <a:tailEnd/>
                    </a:ln>
                  </pic:spPr>
                </pic:pic>
              </a:graphicData>
            </a:graphic>
          </wp:inline>
        </w:drawing>
      </w:r>
      <w:r>
        <w:t xml:space="preserve"> </w:t>
      </w:r>
      <w:r>
        <w:rPr>
          <w:bCs/>
          <w:b/>
        </w:rPr>
        <w:t xml:space="preserve">Figure S1.</w:t>
      </w:r>
      <w:r>
        <w:t xml:space="preserve"> </w:t>
      </w:r>
      <w:r>
        <w:t xml:space="preserve">We selected inventory plot locations to capture six topographic gradients. We chose sites situated at the lowest and highest values of each gradient as they appear in the forested portions of the watershed and then optimized for an even distribution of sites between end-members. On this standard, a perfectly distributed set of sites would follow a straight line from the lowest to highest values with a slope equal to</w:t>
      </w:r>
      <w:r>
        <w:t xml:space="preserve"> </w:t>
      </w:r>
      <m:oMath>
        <m:f>
          <m:fPr>
            <m:type m:val="bar"/>
          </m:fPr>
          <m:num>
            <m:r>
              <m:t>m</m:t>
            </m:r>
            <m:r>
              <m:t>a</m:t>
            </m:r>
            <m:r>
              <m:t>x</m:t>
            </m:r>
            <m:d>
              <m:dPr>
                <m:begChr m:val="("/>
                <m:endChr m:val=")"/>
                <m:sepChr m:val=""/>
                <m:grow/>
              </m:dPr>
              <m:e>
                <m:r>
                  <m:t>v</m:t>
                </m:r>
                <m:r>
                  <m:t>a</m:t>
                </m:r>
                <m:r>
                  <m:t>l</m:t>
                </m:r>
                <m:r>
                  <m:t>u</m:t>
                </m:r>
                <m:r>
                  <m:t>e</m:t>
                </m:r>
              </m:e>
            </m:d>
            <m:r>
              <m:rPr>
                <m:sty m:val="p"/>
              </m:rPr>
              <m:t>−</m:t>
            </m:r>
            <m:r>
              <m:t>m</m:t>
            </m:r>
            <m:r>
              <m:t>i</m:t>
            </m:r>
            <m:r>
              <m:t>n</m:t>
            </m:r>
            <m:d>
              <m:dPr>
                <m:begChr m:val="("/>
                <m:endChr m:val=")"/>
                <m:sepChr m:val=""/>
                <m:grow/>
              </m:dPr>
              <m:e>
                <m:r>
                  <m:t>v</m:t>
                </m:r>
                <m:r>
                  <m:t>a</m:t>
                </m:r>
                <m:r>
                  <m:t>l</m:t>
                </m:r>
                <m:r>
                  <m:t>u</m:t>
                </m:r>
                <m:r>
                  <m:t>e</m:t>
                </m:r>
              </m:e>
            </m:d>
          </m:num>
          <m:den>
            <m:r>
              <m:t>N</m:t>
            </m:r>
            <m:r>
              <m:t>s</m:t>
            </m:r>
            <m:r>
              <m:t>i</m:t>
            </m:r>
            <m:r>
              <m:t>t</m:t>
            </m:r>
            <m:r>
              <m:t>e</m:t>
            </m:r>
            <m:r>
              <m:t>s</m:t>
            </m:r>
          </m:den>
        </m:f>
      </m:oMath>
      <w:r>
        <w:t xml:space="preserve">. Here, each facet depicts the distribution of sites along one of the topographic gradients as points, ordered from the lowest to the highest value. Solid lines are linear fits to the range of each topographic metric, and equations and R</w:t>
      </w:r>
      <w:r>
        <w:rPr>
          <w:vertAlign w:val="superscript"/>
        </w:rPr>
        <w:t xml:space="preserve">2</w:t>
      </w:r>
      <w:r>
        <w:t xml:space="preserve"> </w:t>
      </w:r>
      <w:r>
        <w:t xml:space="preserve">correspond to the fitted lines.</w:t>
      </w:r>
    </w:p>
    <w:p>
      <w:r>
        <w:br w:type="page"/>
      </w:r>
    </w:p>
    <w:p>
      <w:pPr>
        <w:pStyle w:val="BodyText"/>
      </w:pPr>
      <w:r>
        <w:drawing>
          <wp:inline>
            <wp:extent cx="5943600" cy="5943600"/>
            <wp:effectExtent b="0" l="0" r="0" t="0"/>
            <wp:docPr descr="" title="" id="3" name="Picture"/>
            <a:graphic>
              <a:graphicData uri="http://schemas.openxmlformats.org/drawingml/2006/picture">
                <pic:pic>
                  <pic:nvPicPr>
                    <pic:cNvPr descr="./Figures/FigS2.png" id="4"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Cs/>
          <w:b/>
        </w:rPr>
        <w:t xml:space="preserve">Figure S2.</w:t>
      </w:r>
      <w:r>
        <w:t xml:space="preserve"> </w:t>
      </w:r>
      <w:r>
        <w:t xml:space="preserve">Raster images of abiotic explanatory variables. For Geology (P), the numeric scale [1-9] corresponds denotes the following lithologic groups: [1] Dakota Sandstone, [2] Mancos Shale, [3] Mesa Verde Formation (Sand/Silt/Coal), [4] Gothic Formation (Sand/Shale), [5] Maroon Formation (Red Sand/Mud/Conglomerate), [6] Glacial Drift, [7] Landslide Deposits, [8] Middle-Tertiary Granodioritic Laccoliths, [9] Wasatch Formation (Claystone-Shale).</w:t>
      </w:r>
    </w:p>
    <w:p>
      <w:r>
        <w:br w:type="page"/>
      </w:r>
    </w:p>
    <w:p>
      <w:pPr>
        <w:pStyle w:val="BodyText"/>
      </w:pPr>
      <w:r>
        <w:rPr>
          <w:bCs/>
          <w:b/>
        </w:rPr>
        <w:t xml:space="preserve">Figure S3.</w:t>
      </w:r>
      <w:r>
        <w:t xml:space="preserve"> </w:t>
      </w:r>
      <w:r>
        <w:t xml:space="preserve">To estimate DBH for each LiDAR-detected tree object, we used a simple linear model fit to DBH and height measurements from field inventory. We first split the raw DBH values into 1 cm DBH bins and then fit the function to the mean height and DBH in each bin. For error estimation we implemented a training and testing scheme with 80%-20% splits over 100 randomization folds. At each step, we fit model parameters to the training set and predicted</w:t>
      </w:r>
      <w:r>
        <w:t xml:space="preserve"> </w:t>
      </w:r>
      <m:oMath>
        <m:acc>
          <m:accPr>
            <m:chr m:val="̂"/>
          </m:accPr>
          <m:e>
            <m:r>
              <m:t>D</m:t>
            </m:r>
            <m:r>
              <m:t>B</m:t>
            </m:r>
            <m:r>
              <m:t>H</m:t>
            </m:r>
          </m:e>
        </m:acc>
      </m:oMath>
      <w:r>
        <w:t xml:space="preserve"> </w:t>
      </w:r>
      <w:r>
        <w:t xml:space="preserve">on the testing set using the fitted model scaled by its</w:t>
      </w:r>
      <w:r>
        <w:t xml:space="preserve"> </w:t>
      </w:r>
      <m:oMath>
        <m:sSup>
          <m:e>
            <m:r>
              <m:t>σ</m:t>
            </m:r>
          </m:e>
          <m:sup>
            <m:r>
              <m:t>2</m:t>
            </m:r>
          </m:sup>
        </m:sSup>
        <m:r>
          <m:rPr>
            <m:sty m:val="p"/>
          </m:rPr>
          <m:t>/</m:t>
        </m:r>
      </m:oMath>
      <w:r>
        <w:t xml:space="preserve">. We computed the relative error (%) and RMSE between field-measured DBH and allometry-estimated DBH in the testing set at each step and averaged them. For an additional validation step, we predicted DBH on 800 out-of-sample inventory measurements on conifer trees in plots within the watershed that were not otherwise used in this analysis. Training-testing RMSE was 5.0 cm, and bias was 3.3%. On the out-of-sample validation set, RMSE was 5.4 cm, and mean validation bias was +17.8%. Fig. S3 shows the agreement between field-observed and allometry-estimated DBH values on out-of-sample validation data. Shading is by the number of observations (trees), and the diagonal line is 1:1.</w:t>
      </w:r>
    </w:p>
    <w:p>
      <w:pPr>
        <w:pStyle w:val="BodyText"/>
      </w:pPr>
      <w:r>
        <w:drawing>
          <wp:inline>
            <wp:extent cx="5943600" cy="5943600"/>
            <wp:effectExtent b="0" l="0" r="0" t="0"/>
            <wp:docPr descr="" title="" id="5" name="Picture"/>
            <a:graphic>
              <a:graphicData uri="http://schemas.openxmlformats.org/drawingml/2006/picture">
                <pic:pic>
                  <pic:nvPicPr>
                    <pic:cNvPr descr="./Figures/FigS3.png" id="6"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p>
      <w:pPr>
        <w:pStyle w:val="BodyText"/>
      </w:pPr>
      <w:r>
        <w:rPr>
          <w:bCs/>
          <w:b/>
        </w:rPr>
        <w:t xml:space="preserve">Figure S4.</w:t>
      </w:r>
      <w:r>
        <w:t xml:space="preserve"> </w:t>
      </w:r>
      <w:r>
        <w:t xml:space="preserve">Partial-effects plots for all univariate explanatory variables in generalized additive models for each response (A-H).</w:t>
      </w:r>
    </w:p>
    <w:p>
      <w:pPr>
        <w:pStyle w:val="BodyText"/>
      </w:pPr>
      <w:r>
        <w:drawing>
          <wp:inline>
            <wp:extent cx="5943600" cy="5943600"/>
            <wp:effectExtent b="0" l="0" r="0" t="0"/>
            <wp:docPr descr="" title="" id="7" name="Picture"/>
            <a:graphic>
              <a:graphicData uri="http://schemas.openxmlformats.org/drawingml/2006/picture">
                <pic:pic>
                  <pic:nvPicPr>
                    <pic:cNvPr descr="./Figures/FigS4A.png" id="8"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9" name="Picture"/>
            <a:graphic>
              <a:graphicData uri="http://schemas.openxmlformats.org/drawingml/2006/picture">
                <pic:pic>
                  <pic:nvPicPr>
                    <pic:cNvPr descr="./Figures/FigS4B.png" id="1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11" name="Picture"/>
            <a:graphic>
              <a:graphicData uri="http://schemas.openxmlformats.org/drawingml/2006/picture">
                <pic:pic>
                  <pic:nvPicPr>
                    <pic:cNvPr descr="./Figures/FigS4C.png" id="12"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13" name="Picture"/>
            <a:graphic>
              <a:graphicData uri="http://schemas.openxmlformats.org/drawingml/2006/picture">
                <pic:pic>
                  <pic:nvPicPr>
                    <pic:cNvPr descr="./Figures/FigS4D.png" id="14"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15" name="Picture"/>
            <a:graphic>
              <a:graphicData uri="http://schemas.openxmlformats.org/drawingml/2006/picture">
                <pic:pic>
                  <pic:nvPicPr>
                    <pic:cNvPr descr="./Figures/FigS4E.png" id="16"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17" name="Picture"/>
            <a:graphic>
              <a:graphicData uri="http://schemas.openxmlformats.org/drawingml/2006/picture">
                <pic:pic>
                  <pic:nvPicPr>
                    <pic:cNvPr descr="./Figures/FigS4F.png" id="18"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19" name="Picture"/>
            <a:graphic>
              <a:graphicData uri="http://schemas.openxmlformats.org/drawingml/2006/picture">
                <pic:pic>
                  <pic:nvPicPr>
                    <pic:cNvPr descr="./Figures/FigS4G.png" id="2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drawing>
          <wp:inline>
            <wp:extent cx="5943600" cy="5943600"/>
            <wp:effectExtent b="0" l="0" r="0" t="0"/>
            <wp:docPr descr="" title="" id="21" name="Picture"/>
            <a:graphic>
              <a:graphicData uri="http://schemas.openxmlformats.org/drawingml/2006/picture">
                <pic:pic>
                  <pic:nvPicPr>
                    <pic:cNvPr descr="./Figures/FigS4H.png" id="22"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bookmarkEnd w:id="54"/>
    <w:sectPr w:rsidR="00EB554B" w:rsidRPr="00AB6C84" w:rsidSect="00CD2980">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7274FB42" w14:textId="57310B38" w:rsidR="00B5477D" w:rsidRDefault="00B5477D"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4F4155" w14:textId="77777777" w:rsidR="00B5477D" w:rsidRDefault="00B5477D" w:rsidP="00B5477D">
    <w:pPr>
      <w:pStyle w:val="Footer"/>
      <w:ind w:right="360"/>
    </w:pPr>
  </w:p>
  <w:p w14:paraId="64B1EFDC" w14:textId="77777777" w:rsidR="006A5621" w:rsidRDefault="006A562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13F974C6" w14:textId="1E519F0D" w:rsidR="00B5477D" w:rsidRDefault="00B5477D"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08F5DC" w14:textId="77777777" w:rsidR="00B5477D" w:rsidRDefault="00B5477D" w:rsidP="00B5477D">
    <w:pPr>
      <w:pStyle w:val="Footer"/>
      <w:ind w:right="360"/>
    </w:pPr>
  </w:p>
  <w:p w14:paraId="7DB25F51" w14:textId="77777777" w:rsidR="006A5621" w:rsidRDefault="006A5621"/>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F"/>
    <w:multiLevelType w:val="singleLevel"/>
    <w:tmpl w:val="04744978"/>
    <w:lvl w:ilvl="0">
      <w:start w:val="1"/>
      <w:numFmt w:val="decimal"/>
      <w:lvlText w:val="%1."/>
      <w:lvlJc w:val="left"/>
      <w:pPr>
        <w:tabs>
          <w:tab w:pos="720" w:val="num"/>
        </w:tabs>
        <w:ind w:hanging="360" w:left="720"/>
      </w:pPr>
    </w:lvl>
  </w:abstractNum>
  <w:abstractNum w15:restartNumberingAfterBreak="0" w:abstractNumId="1">
    <w:nsid w:val="FFFFFF88"/>
    <w:multiLevelType w:val="singleLevel"/>
    <w:tmpl w:val="E440F742"/>
    <w:lvl w:ilvl="0">
      <w:start w:val="1"/>
      <w:numFmt w:val="decimal"/>
      <w:lvlText w:val="%1."/>
      <w:lvlJc w:val="left"/>
      <w:pPr>
        <w:tabs>
          <w:tab w:pos="360" w:val="num"/>
        </w:tabs>
        <w:ind w:hanging="360" w:left="360"/>
      </w:pPr>
    </w:lvl>
  </w:abstractNum>
  <w:abstractNum w15:restartNumberingAfterBreak="0" w:abstractNumId="2">
    <w:nsid w:val="00A99411"/>
    <w:multiLevelType w:val="multilevel"/>
    <w:tmpl w:val="61BCFF12"/>
    <w:lvl w:ilvl="0">
      <w:start w:val="1"/>
      <w:numFmt w:val="decimal"/>
      <w:pStyle w:val="ListNumber"/>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04823"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993021188" w:numId="2">
    <w:abstractNumId w:val="1"/>
  </w:num>
  <w:num w16cid:durableId="1853493005" w:numId="3">
    <w:abstractNumId w:val="1"/>
  </w:num>
  <w:num w16cid:durableId="216818799" w:numId="4">
    <w:abstractNumId w:val="1"/>
  </w:num>
  <w:num w16cid:durableId="355273609" w:numId="5">
    <w:abstractNumId w:val="1"/>
  </w:num>
  <w:num w16cid:durableId="256330496" w:numId="6">
    <w:abstractNumId w:val="1"/>
  </w:num>
  <w:num w16cid:durableId="199825981" w:numId="7">
    <w:abstractNumId w:val="0"/>
  </w:num>
  <w:num w16cid:durableId="540746943" w:numId="8">
    <w:abstractNumId w:val="0"/>
  </w:num>
  <w:num w16cid:durableId="1349867432" w:numId="9">
    <w:abstractNumId w:val="0"/>
  </w:num>
  <w:num w16cid:durableId="1612938167" w:numId="10">
    <w:abstractNumId w:val="0"/>
  </w:num>
  <w:num w16cid:durableId="1478523909" w:numId="11">
    <w:abstractNumId w:val="0"/>
  </w:num>
  <w:num w16cid:durableId="934632237" w:numId="12">
    <w:abstractNumId w:val="0"/>
  </w:num>
  <w:num w16cid:durableId="882979150" w:numId="13">
    <w:abstractNumId w:val="0"/>
  </w:num>
  <w:num w16cid:durableId="147598123" w:numId="14">
    <w:abstractNumId w:val="0"/>
  </w:num>
  <w:num w16cid:durableId="273247183" w:numId="15">
    <w:abstractNumId w:val="0"/>
  </w:num>
  <w:num w16cid:durableId="90904153" w:numId="16">
    <w:abstractNumId w:val="0"/>
  </w:num>
  <w:num w:numId="1000">
    <w:abstractNumId w:val="990"/>
  </w:num>
</w:numbering>
</file>

<file path=word/settings.xml><?xml version="1.0" encoding="utf-8"?>
<w:settings xmlns:w="http://schemas.openxmlformats.org/wordprocessingml/2006/main">
  <w:zoom w:percent="163"/>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0854"/>
    <w:rPr>
      <w:rFonts w:ascii="Times New Roman" w:hAnsi="Times New Roman"/>
    </w:rPr>
  </w:style>
  <w:style w:styleId="Heading1" w:type="paragraph">
    <w:name w:val="heading 1"/>
    <w:basedOn w:val="Normal"/>
    <w:next w:val="BodyText"/>
    <w:uiPriority w:val="9"/>
    <w:qFormat/>
    <w:rsid w:val="001723EC"/>
    <w:pPr>
      <w:keepNext/>
      <w:keepLines/>
      <w:spacing w:after="0" w:before="480"/>
      <w:outlineLvl w:val="0"/>
    </w:pPr>
    <w:rPr>
      <w:rFonts w:ascii="Helvetica Neue" w:cstheme="majorBidi" w:eastAsiaTheme="majorEastAsia" w:hAnsi="Helvetica Neue"/>
      <w:b/>
      <w:bCs/>
      <w:color w:themeColor="text1" w:val="000000"/>
      <w:sz w:val="32"/>
      <w:szCs w:val="32"/>
    </w:rPr>
  </w:style>
  <w:style w:styleId="Heading2" w:type="paragraph">
    <w:name w:val="heading 2"/>
    <w:basedOn w:val="Normal"/>
    <w:next w:val="BodyText"/>
    <w:uiPriority w:val="9"/>
    <w:unhideWhenUsed/>
    <w:qFormat/>
    <w:rsid w:val="001723EC"/>
    <w:pPr>
      <w:keepNext/>
      <w:keepLines/>
      <w:spacing w:after="0" w:before="200"/>
      <w:outlineLvl w:val="1"/>
    </w:pPr>
    <w:rPr>
      <w:rFonts w:ascii="Helvetica Neue" w:cstheme="majorBidi" w:eastAsiaTheme="majorEastAsia" w:hAnsi="Helvetica Neue"/>
      <w:b/>
      <w:bCs/>
      <w:sz w:val="28"/>
      <w:szCs w:val="28"/>
    </w:rPr>
  </w:style>
  <w:style w:styleId="Heading3" w:type="paragraph">
    <w:name w:val="heading 3"/>
    <w:basedOn w:val="Normal"/>
    <w:next w:val="BodyText"/>
    <w:uiPriority w:val="9"/>
    <w:unhideWhenUsed/>
    <w:qFormat/>
    <w:rsid w:val="001723EC"/>
    <w:pPr>
      <w:keepNext/>
      <w:keepLines/>
      <w:spacing w:after="0" w:before="200"/>
      <w:outlineLvl w:val="2"/>
    </w:pPr>
    <w:rPr>
      <w:rFonts w:ascii="Helvetica Neue" w:cstheme="majorBidi" w:eastAsiaTheme="majorEastAsia" w:hAnsi="Helvetica Neue"/>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5436FC"/>
    <w:pPr>
      <w:spacing w:after="180" w:before="180" w:line="480" w:lineRule="auto"/>
      <w:ind w:firstLine="360"/>
    </w:pPr>
  </w:style>
  <w:style w:customStyle="1" w:styleId="FirstParagraph" w:type="paragraph">
    <w:name w:val="First Paragraph"/>
    <w:basedOn w:val="BodyText"/>
    <w:next w:val="BodyText"/>
    <w:autoRedefine/>
    <w:qFormat/>
    <w:rsid w:val="005436FC"/>
  </w:style>
  <w:style w:customStyle="1" w:styleId="Compact" w:type="paragraph">
    <w:name w:val="Compact"/>
    <w:basedOn w:val="BodyText"/>
    <w:qFormat/>
    <w:rsid w:val="00E47F98"/>
    <w:pPr>
      <w:spacing w:after="36" w:before="36" w:line="240" w:lineRule="auto"/>
      <w:ind w:firstLine="0"/>
    </w:pPr>
  </w:style>
  <w:style w:styleId="Title" w:type="paragraph">
    <w:name w:val="Title"/>
    <w:basedOn w:val="Normal"/>
    <w:next w:val="BodyText"/>
    <w:qFormat/>
    <w:rsid w:val="0040378E"/>
    <w:pPr>
      <w:keepNext/>
      <w:keepLines/>
      <w:spacing w:after="240" w:before="480"/>
      <w:jc w:val="center"/>
    </w:pPr>
    <w:rPr>
      <w:rFonts w:ascii="Arial" w:cstheme="majorBidi" w:eastAsiaTheme="majorEastAsia" w:hAnsi="Arial"/>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40378E"/>
    <w:pPr>
      <w:keepNext/>
      <w:keepLines/>
      <w:jc w:val="center"/>
    </w:pPr>
    <w:rPr>
      <w:rFonts w:ascii="Times New Roman" w:hAnsi="Times New Roman"/>
    </w:rPr>
  </w:style>
  <w:style w:styleId="Date" w:type="paragraph">
    <w:name w:val="Date"/>
    <w:next w:val="BodyText"/>
    <w:autoRedefine/>
    <w:qFormat/>
    <w:rsid w:val="0040378E"/>
    <w:pPr>
      <w:keepNext/>
      <w:keepLines/>
      <w:jc w:val="center"/>
    </w:pPr>
    <w:rPr>
      <w:rFonts w:ascii="Times New Roman" w:hAnsi="Times New Roman"/>
    </w:rPr>
  </w:style>
  <w:style w:customStyle="1" w:styleId="Abstract" w:type="paragraph">
    <w:name w:val="Abstract"/>
    <w:basedOn w:val="Normal"/>
    <w:next w:val="BodyText"/>
    <w:qFormat/>
    <w:rsid w:val="00490854"/>
    <w:pPr>
      <w:keepNext/>
      <w:keepLines/>
      <w:spacing w:after="300" w:before="300" w:line="480" w:lineRule="auto"/>
    </w:pPr>
    <w:rPr>
      <w:sz w:val="20"/>
      <w:szCs w:val="20"/>
    </w:rPr>
  </w:style>
  <w:style w:styleId="Bibliography" w:type="paragraph">
    <w:name w:val="Bibliography"/>
    <w:basedOn w:val="Normal"/>
    <w:qFormat/>
    <w:rsid w:val="00C113F3"/>
    <w:pPr>
      <w:spacing w:after="180" w:before="18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E47F98"/>
    <w:pPr>
      <w:snapToGrid w:val="0"/>
      <w:spacing w:after="120"/>
    </w:pPr>
  </w:style>
  <w:style w:customStyle="1" w:styleId="TableCaption" w:type="paragraph">
    <w:name w:val="Table Caption"/>
    <w:basedOn w:val="Caption"/>
    <w:autoRedefine/>
    <w:rsid w:val="00126141"/>
    <w:pPr>
      <w:keepNext/>
      <w:spacing w:after="240" w:before="120"/>
    </w:pPr>
  </w:style>
  <w:style w:customStyle="1" w:styleId="ImageCaption" w:type="paragraph">
    <w:name w:val="Image Caption"/>
    <w:basedOn w:val="Caption"/>
  </w:style>
  <w:style w:customStyle="1" w:styleId="Figure" w:type="paragraph">
    <w:name w:val="Figure"/>
    <w:basedOn w:val="Normal"/>
    <w:rsid w:val="00E47F98"/>
  </w:style>
  <w:style w:customStyle="1" w:styleId="CaptionedFigure" w:type="paragraph">
    <w:name w:val="Captioned Figure"/>
    <w:basedOn w:val="Figure"/>
    <w:rsid w:val="00E47F98"/>
    <w:pPr>
      <w:keepNext/>
    </w:pPr>
  </w:style>
  <w:style w:customStyle="1" w:styleId="CaptionChar" w:type="character">
    <w:name w:val="Caption Char"/>
    <w:basedOn w:val="DefaultParagraphFont"/>
    <w:link w:val="Caption"/>
    <w:rsid w:val="00E47F98"/>
    <w:rPr>
      <w:rFonts w:ascii="Times New Roman" w:hAnsi="Times New Roman"/>
    </w:rPr>
  </w:style>
  <w:style w:customStyle="1" w:styleId="VerbatimChar" w:type="character">
    <w:name w:val="Verbatim Char"/>
    <w:basedOn w:val="CaptionChar"/>
    <w:link w:val="SourceCode"/>
    <w:rsid w:val="00AB6C84"/>
    <w:rPr>
      <w:rFonts w:ascii="Consolas" w:hAnsi="Consolas"/>
      <w:shd w:color="auto" w:fill="F8F8F8" w:val="clear"/>
    </w:rPr>
  </w:style>
  <w:style w:customStyle="1" w:styleId="SectionNumber" w:type="character">
    <w:name w:val="Section Number"/>
    <w:basedOn w:val="CaptionChar"/>
    <w:rPr>
      <w:rFonts w:ascii="Times New Roman" w:hAnsi="Times New Roman"/>
    </w:rPr>
  </w:style>
  <w:style w:styleId="FootnoteReference" w:type="character">
    <w:name w:val="footnote reference"/>
    <w:basedOn w:val="CaptionChar"/>
    <w:rPr>
      <w:rFonts w:ascii="Times New Roman" w:hAnsi="Times New Roman"/>
      <w:vertAlign w:val="superscript"/>
    </w:rPr>
  </w:style>
  <w:style w:styleId="Hyperlink" w:type="character">
    <w:name w:val="Hyperlink"/>
    <w:basedOn w:val="CaptionChar"/>
    <w:rPr>
      <w:rFonts w:ascii="Times New Roman" w:hAnsi="Times New Roman"/>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AB6C84"/>
    <w:pPr>
      <w:shd w:color="auto" w:fill="F8F8F8" w:val="clear"/>
      <w:wordWrap w:val="0"/>
    </w:pPr>
    <w:rPr>
      <w:rFonts w:ascii="Consolas" w:hAnsi="Consolas"/>
    </w:r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5436FC"/>
    <w:rPr>
      <w:rFonts w:ascii="Times New Roman" w:hAnsi="Times New Roman"/>
    </w:rPr>
  </w:style>
  <w:style w:styleId="LineNumber" w:type="character">
    <w:name w:val="line number"/>
    <w:basedOn w:val="DefaultParagraphFont"/>
    <w:semiHidden/>
    <w:unhideWhenUsed/>
    <w:rsid w:val="006E6C45"/>
  </w:style>
  <w:style w:customStyle="1" w:styleId="PaperTable" w:type="table">
    <w:name w:val="PaperTable"/>
    <w:basedOn w:val="TableNormal"/>
    <w:uiPriority w:val="99"/>
    <w:rsid w:val="00C463E4"/>
    <w:pPr>
      <w:spacing w:after="0"/>
    </w:pPr>
    <w:rPr>
      <w:rFonts w:ascii="Book Antiqua" w:hAnsi="Book Antiqua"/>
      <w:sz w:val="22"/>
    </w:rPr>
    <w:tblPr>
      <w:tblCellSpacing w:type="dxa" w:w="7"/>
      <w:tblBorders>
        <w:bottom w:color="auto" w:space="0" w:sz="12" w:val="single"/>
      </w:tblBorders>
      <w:tblCellMar>
        <w:top w:type="dxa" w:w="108"/>
        <w:bottom w:type="dxa" w:w="108"/>
      </w:tblCellMar>
    </w:tblPr>
    <w:trPr>
      <w:tblCellSpacing w:type="dxa" w:w="7"/>
    </w:trPr>
    <w:tcPr>
      <w:vAlign w:val="center"/>
    </w:tcPr>
    <w:tblStylePr w:type="firstRow">
      <w:pPr>
        <w:jc w:val="left"/>
      </w:pPr>
      <w:rPr>
        <w:rFonts w:ascii="Book Antiqua" w:hAnsi="Book Antiqua"/>
        <w:b/>
        <w:sz w:val="24"/>
      </w:rPr>
      <w:tblPr/>
      <w:tcPr>
        <w:tcBorders>
          <w:top w:color="auto" w:space="0" w:sz="4" w:val="single"/>
          <w:left w:val="nil"/>
          <w:bottom w:color="auto" w:space="0" w:sz="12" w:val="single"/>
          <w:right w:val="nil"/>
          <w:insideH w:val="nil"/>
          <w:insideV w:val="nil"/>
          <w:tl2br w:val="nil"/>
          <w:tr2bl w:val="nil"/>
        </w:tcBorders>
      </w:tcPr>
    </w:tblStylePr>
  </w:style>
  <w:style w:styleId="ListNumber" w:type="paragraph">
    <w:name w:val="List Number"/>
    <w:basedOn w:val="Compact"/>
    <w:autoRedefine/>
    <w:unhideWhenUsed/>
    <w:qFormat/>
    <w:rsid w:val="00A36448"/>
    <w:pPr>
      <w:numPr>
        <w:numId w:val="1"/>
      </w:numPr>
      <w:spacing w:after="0" w:before="0" w:line="480" w:lineRule="auto"/>
      <w:ind w:hanging="475" w:left="835"/>
    </w:pPr>
  </w:style>
  <w:style w:customStyle="1" w:styleId="PubTable" w:type="table">
    <w:name w:val="PubTable"/>
    <w:basedOn w:val="PlainTable1"/>
    <w:uiPriority w:val="99"/>
    <w:rsid w:val="002960AF"/>
    <w:rPr>
      <w:rFonts w:ascii="Book Antiqua" w:hAnsi="Book Antiqua"/>
      <w:sz w:val="22"/>
      <w:szCs w:val="20"/>
    </w:rPr>
    <w:tblPr>
      <w:tblCellSpacing w:type="dxa" w:w="14"/>
      <w:tblBorders>
        <w:top w:color="auto" w:space="0" w:sz="0" w:val="none"/>
        <w:left w:color="auto" w:space="0" w:sz="0" w:val="none"/>
        <w:bottom w:color="auto" w:space="0" w:sz="4" w:val="single"/>
        <w:right w:color="auto" w:space="0" w:sz="0" w:val="none"/>
        <w:insideH w:color="auto" w:space="0" w:sz="0" w:val="none"/>
        <w:insideV w:color="auto" w:space="0" w:sz="0" w:val="none"/>
      </w:tblBorders>
      <w:tblCellMar>
        <w:top w:type="dxa" w:w="144"/>
        <w:left w:type="dxa" w:w="144"/>
        <w:bottom w:type="dxa" w:w="144"/>
        <w:right w:type="dxa" w:w="144"/>
      </w:tblCellMar>
    </w:tblPr>
    <w:trPr>
      <w:tblCellSpacing w:type="dxa" w:w="14"/>
    </w:trPr>
    <w:tcPr>
      <w:shd w:color="auto" w:fill="auto" w:val="clear"/>
      <w:vAlign w:val="center"/>
    </w:tcPr>
    <w:tblStylePr w:type="firstRow">
      <w:pPr>
        <w:jc w:val="left"/>
      </w:pPr>
      <w:rPr>
        <w:rFonts w:ascii="Book Antiqua" w:hAnsi="Book Antiqua"/>
        <w:b/>
        <w:bCs/>
        <w:i w:val="0"/>
        <w:sz w:val="24"/>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1" w:type="table">
    <w:name w:val="Plain Table 1"/>
    <w:basedOn w:val="TableNormal"/>
    <w:rsid w:val="00A73F44"/>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TableGrid" w:type="table">
    <w:name w:val="Table Grid"/>
    <w:basedOn w:val="TableNormal"/>
    <w:rsid w:val="00A73F44"/>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tyle1" w:type="table">
    <w:name w:val="Style1"/>
    <w:basedOn w:val="TableNormal"/>
    <w:uiPriority w:val="99"/>
    <w:rsid w:val="00126141"/>
    <w:pPr>
      <w:spacing w:after="0"/>
    </w:pPr>
    <w:tblPr/>
  </w:style>
  <w:style w:styleId="Header" w:type="paragraph">
    <w:name w:val="header"/>
    <w:basedOn w:val="Normal"/>
    <w:link w:val="HeaderChar"/>
    <w:unhideWhenUsed/>
    <w:rsid w:val="00B5477D"/>
    <w:pPr>
      <w:tabs>
        <w:tab w:pos="4680" w:val="center"/>
        <w:tab w:pos="9360" w:val="right"/>
      </w:tabs>
      <w:spacing w:after="0"/>
    </w:pPr>
  </w:style>
  <w:style w:customStyle="1" w:styleId="HeaderChar" w:type="character">
    <w:name w:val="Header Char"/>
    <w:basedOn w:val="DefaultParagraphFont"/>
    <w:link w:val="Header"/>
    <w:rsid w:val="00B5477D"/>
    <w:rPr>
      <w:rFonts w:ascii="Times New Roman" w:hAnsi="Times New Roman"/>
    </w:rPr>
  </w:style>
  <w:style w:styleId="Footer" w:type="paragraph">
    <w:name w:val="footer"/>
    <w:basedOn w:val="Normal"/>
    <w:link w:val="FooterChar"/>
    <w:unhideWhenUsed/>
    <w:rsid w:val="00B5477D"/>
    <w:pPr>
      <w:tabs>
        <w:tab w:pos="4680" w:val="center"/>
        <w:tab w:pos="9360" w:val="right"/>
      </w:tabs>
      <w:spacing w:after="0"/>
    </w:pPr>
  </w:style>
  <w:style w:customStyle="1" w:styleId="FooterChar" w:type="character">
    <w:name w:val="Footer Char"/>
    <w:basedOn w:val="DefaultParagraphFont"/>
    <w:link w:val="Footer"/>
    <w:rsid w:val="00B5477D"/>
    <w:rPr>
      <w:rFonts w:ascii="Times New Roman" w:hAnsi="Times New Roman"/>
    </w:rPr>
  </w:style>
  <w:style w:styleId="PageNumber" w:type="character">
    <w:name w:val="page number"/>
    <w:basedOn w:val="DefaultParagraphFont"/>
    <w:semiHidden/>
    <w:unhideWhenUsed/>
    <w:rsid w:val="00B54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1" Type="http://schemas.openxmlformats.org/officeDocument/2006/relationships/image" Target="media/rId21.png"/>
<Relationship Id="rId24" Type="http://schemas.openxmlformats.org/officeDocument/2006/relationships/image" Target="media/rId24.png"/>
<Relationship Id="rId27" Type="http://schemas.openxmlformats.org/officeDocument/2006/relationships/image" Target="media/rId27.png"/>
<Relationship Id="rId30" Type="http://schemas.openxmlformats.org/officeDocument/2006/relationships/image" Target="media/rId30.png"/>
<Relationship Id="rId33" Type="http://schemas.openxmlformats.org/officeDocument/2006/relationships/image" Target="media/rId33.png"/>
<Relationship Id="rId36" Type="http://schemas.openxmlformats.org/officeDocument/2006/relationships/image" Target="media/rId36.png"/>
<Relationship Id="rId39" Type="http://schemas.openxmlformats.org/officeDocument/2006/relationships/image" Target="media/rId39.png"/>
<Relationship Id="rId42" Type="http://schemas.openxmlformats.org/officeDocument/2006/relationships/image" Target="media/rId42.png"/>
<Relationship Id="rId45" Type="http://schemas.openxmlformats.org/officeDocument/2006/relationships/image" Target="media/rId45.png"/>
<Relationship Id="rId48" Type="http://schemas.openxmlformats.org/officeDocument/2006/relationships/image" Target="media/rId48.png"/>
<Relationship Id="rId51" Type="http://schemas.openxmlformats.org/officeDocument/2006/relationships/image" Target="media/rId5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7</Pages>
  <Words>860</Words>
  <Characters>4905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State-factor controls on subalpine forest structure</vt:lpstr>
    </vt:vector>
  </TitlesOfParts>
  <Company/>
  <LinksUpToDate>false</LinksUpToDate>
  <CharactersWithSpaces>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Supplementary information: Worsham et al. 2024. Abiotic influences on subalpine conifer forest structure</dc:title>
  <dc:creator/>
  <cp:keywords/>
  <dcterms:created xsi:type="dcterms:W3CDTF">2024-05-13T17:54:23Z</dcterms:created>
  <dcterms:modified xsi:type="dcterms:W3CDTF">2024-05-13T11:54:27Z</dcterms:modified>
  <cp:lastModifiedBy>hmworsham</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date">
    <vt:lpwstr>May 13, 2024</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fontfamily">
    <vt:lpwstr>mathpazo</vt:lpwstr>
  </property>
  <property fmtid="{D5CDD505-2E9C-101B-9397-08002B2CF9AE}" pid="28" name="fontsize">
    <vt:lpwstr>12pt</vt:lpwstr>
  </property>
  <property fmtid="{D5CDD505-2E9C-101B-9397-08002B2CF9AE}" pid="29" name="geometry">
    <vt:lpwstr>margin = 1in</vt:lpwstr>
  </property>
  <property fmtid="{D5CDD505-2E9C-101B-9397-08002B2CF9AE}" pid="30" name="header-includes">
    <vt:lpwstr/>
  </property>
  <property fmtid="{D5CDD505-2E9C-101B-9397-08002B2CF9AE}" pid="31" name="indent">
    <vt:lpwstr>True</vt:lpwstr>
  </property>
  <property fmtid="{D5CDD505-2E9C-101B-9397-08002B2CF9AE}" pid="32" name="lastDelim">
    <vt:lpwstr>, </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output">
    <vt:lpwstr/>
  </property>
  <property fmtid="{D5CDD505-2E9C-101B-9397-08002B2CF9AE}" pid="53" name="pairDelim">
    <vt:lpwstr>, </vt:lpwstr>
  </property>
  <property fmtid="{D5CDD505-2E9C-101B-9397-08002B2CF9AE}" pid="54" name="rangeDelim">
    <vt:lpwstr>-</vt:lpwstr>
  </property>
  <property fmtid="{D5CDD505-2E9C-101B-9397-08002B2CF9AE}" pid="55" name="refDelim">
    <vt:lpwstr>, </vt:lpwstr>
  </property>
  <property fmtid="{D5CDD505-2E9C-101B-9397-08002B2CF9AE}" pid="56" name="refIndexTemplate">
    <vt:lpwstr>isuf</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ubfigGrid">
    <vt:lpwstr>False</vt:lpwstr>
  </property>
  <property fmtid="{D5CDD505-2E9C-101B-9397-08002B2CF9AE}" pid="64" name="subfigLabels">
    <vt:lpwstr>alpha a</vt:lpwstr>
  </property>
  <property fmtid="{D5CDD505-2E9C-101B-9397-08002B2CF9AE}" pid="65" name="subfigureChildTemplate">
    <vt:lpwstr>i</vt:lpwstr>
  </property>
  <property fmtid="{D5CDD505-2E9C-101B-9397-08002B2CF9AE}" pid="66" name="subfigureRefIndexTemplate">
    <vt:lpwstr>isuf (s)</vt:lpwstr>
  </property>
  <property fmtid="{D5CDD505-2E9C-101B-9397-08002B2CF9AE}" pid="67" name="subfigureTemplate">
    <vt:lpwstr>figureTitle ititleDelim t. ccs</vt:lpwstr>
  </property>
  <property fmtid="{D5CDD505-2E9C-101B-9397-08002B2CF9AE}" pid="68" name="tableEqns">
    <vt:lpwstr>False</vt:lpwstr>
  </property>
  <property fmtid="{D5CDD505-2E9C-101B-9397-08002B2CF9AE}" pid="69" name="tableTemplate">
    <vt:lpwstr>tableTitle ititleDelim t</vt:lpwstr>
  </property>
  <property fmtid="{D5CDD505-2E9C-101B-9397-08002B2CF9AE}" pid="70" name="tableTitle">
    <vt:lpwstr>Table</vt:lpwstr>
  </property>
  <property fmtid="{D5CDD505-2E9C-101B-9397-08002B2CF9AE}" pid="71" name="tblLabels">
    <vt:lpwstr>arabic</vt:lpwstr>
  </property>
  <property fmtid="{D5CDD505-2E9C-101B-9397-08002B2CF9AE}" pid="72" name="tblPrefix">
    <vt:lpwstr/>
  </property>
  <property fmtid="{D5CDD505-2E9C-101B-9397-08002B2CF9AE}" pid="73" name="tblPrefixTemplate">
    <vt:lpwstr>p i</vt:lpwstr>
  </property>
  <property fmtid="{D5CDD505-2E9C-101B-9397-08002B2CF9AE}" pid="74" name="titleDelim">
    <vt:lpwstr>:</vt:lpwstr>
  </property>
</Properties>
</file>